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101C7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</w:p>
    <w:p w14:paraId="250E1F2A" w14:textId="77777777"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C4F7C" wp14:editId="51F20CD5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7F0C96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14:paraId="29CE4914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</w:p>
    <w:p w14:paraId="69D64E4B" w14:textId="77777777"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14:paraId="5D867EC4" w14:textId="77777777" w:rsidR="00AC0EE2" w:rsidRPr="005B4ACF" w:rsidRDefault="00534913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 – CONSORZIO MEDITERRANEO PER LO SVILUPPO</w:t>
      </w:r>
    </w:p>
    <w:p w14:paraId="0BBA1826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14:paraId="7D3D0F57" w14:textId="77777777"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14:paraId="2A827CE2" w14:textId="77777777" w:rsidR="00534913" w:rsidRPr="005B4ACF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:lang w:val="en-US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14:paraId="6AFDC2BD" w14:textId="77777777" w:rsidR="00534913" w:rsidRPr="005B4ACF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 wp14:anchorId="4DE3177A" wp14:editId="1C0883D5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5B4ACF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  <w:lang w:val="en-US"/>
        </w:rPr>
        <w:br w:type="textWrapping" w:clear="all"/>
      </w:r>
    </w:p>
    <w:p w14:paraId="2424C84B" w14:textId="77777777"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14:paraId="3224B3FF" w14:textId="77777777" w:rsidR="00AC0EE2" w:rsidRPr="005B4ACF" w:rsidRDefault="00534913" w:rsidP="00534913">
      <w:pPr>
        <w:jc w:val="center"/>
        <w:rPr>
          <w:rFonts w:ascii="Bahnschrift Light" w:eastAsia="Constantia" w:hAnsi="Bahnschrift Light" w:cs="Times New Roman"/>
          <w:lang w:val="en-US"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14:paraId="451A13CE" w14:textId="77777777" w:rsidR="00AC0EE2" w:rsidRPr="005B4ACF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val="en-US" w:bidi="it-IT"/>
        </w:rPr>
      </w:pPr>
      <w:r w:rsidRPr="005B4ACF">
        <w:rPr>
          <w:rFonts w:ascii="Bahnschrift Light" w:eastAsia="Constantia" w:hAnsi="Bahnschrift Light" w:cs="Times New Roman"/>
          <w:lang w:val="en-US" w:bidi="it-IT"/>
        </w:rPr>
        <w:tab/>
      </w:r>
    </w:p>
    <w:p w14:paraId="14769B55" w14:textId="77777777" w:rsidR="00AC0EE2" w:rsidRPr="005B4ACF" w:rsidRDefault="00AC0EE2" w:rsidP="00AC0EE2">
      <w:pPr>
        <w:jc w:val="both"/>
        <w:rPr>
          <w:rFonts w:ascii="Bahnschrift Light" w:eastAsia="Constantia" w:hAnsi="Bahnschrift Light" w:cs="Times New Roman"/>
          <w:lang w:val="en-US" w:bidi="it-IT"/>
        </w:rPr>
      </w:pPr>
    </w:p>
    <w:p w14:paraId="2531C906" w14:textId="77777777" w:rsidR="00AC0EE2" w:rsidRPr="005B4ACF" w:rsidRDefault="00AC0EE2" w:rsidP="00D54174">
      <w:pPr>
        <w:jc w:val="right"/>
        <w:rPr>
          <w:rFonts w:ascii="Bahnschrift Light" w:eastAsia="Constantia" w:hAnsi="Bahnschrift Light" w:cs="Times New Roman"/>
          <w:lang w:val="en-US" w:bidi="it-IT"/>
        </w:rPr>
      </w:pPr>
    </w:p>
    <w:p w14:paraId="01F9A70D" w14:textId="77777777" w:rsidR="00AC0EE2" w:rsidRPr="002A50BF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val="en-US" w:bidi="it-IT"/>
        </w:rPr>
      </w:pP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Il “</w:t>
      </w:r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Consorzio Mediterraneo per lo Sviluppo - CO.ME.S.”</w:t>
      </w:r>
      <w:r w:rsidRPr="002A50BF">
        <w:rPr>
          <w:rFonts w:ascii="Bahnschrift Light" w:eastAsia="Constantia" w:hAnsi="Bahnschrift Light" w:cs="Times New Roman"/>
          <w:color w:val="0070C0"/>
          <w:sz w:val="24"/>
          <w:szCs w:val="24"/>
          <w:lang w:val="en-US" w:bidi="it-IT"/>
        </w:rPr>
        <w:t xml:space="preserve">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accompagna le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imprese ed i singoli individui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 loro percorso di crescita e sviluppo professionale. È un ente di formazione, progettazione, ricerca e s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viluppo, accreditato in Regione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Calabria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che opera nei settori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della comunicazione, della formazione, del marketing, della ricerca, d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ello sviluppo e del turismo con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l’obiettivo di favorire la crescita qualitativa del tessuto soc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iale ed economico attraverso la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circolazione di conoscenze e l’attivazione di progetti regionali, nazionali ed europei.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 </w:t>
      </w:r>
      <w:r w:rsidRPr="002A50BF">
        <w:rPr>
          <w:rFonts w:ascii="Bahnschrift Light" w:eastAsia="Constantia" w:hAnsi="Bahnschrift Light" w:cs="Times New Roman"/>
          <w:b/>
          <w:color w:val="0070C0"/>
          <w:sz w:val="24"/>
          <w:szCs w:val="24"/>
          <w:lang w:val="en-US" w:bidi="it-IT"/>
        </w:rPr>
        <w:t>CO.ME.S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. van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ta, inoltre, un’importante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esperienza nella progettazione ed erogazione di percorsi formativi p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ensati per neodiplomati, nonché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nell’attività di orientamento di giovani alla prima esperienza lavora</w:t>
      </w:r>
      <w:r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 xml:space="preserve">tiva e persone adulte che hanno </w:t>
      </w:r>
      <w:r w:rsidRPr="002A50BF">
        <w:rPr>
          <w:rFonts w:ascii="Bahnschrift Light" w:eastAsia="Constantia" w:hAnsi="Bahnschrift Light" w:cs="Times New Roman"/>
          <w:sz w:val="24"/>
          <w:szCs w:val="24"/>
          <w:lang w:val="en-US" w:bidi="it-IT"/>
        </w:rPr>
        <w:t>perso il lavoro o intendono ricollocarsi in un altro settore merceologico.</w:t>
      </w:r>
    </w:p>
    <w:p w14:paraId="618A5638" w14:textId="77777777" w:rsidR="006A5604" w:rsidRPr="005B4ACF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  <w:lang w:val="en-US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6A5604" w:rsidRPr="005B4ACF">
        <w:rPr>
          <w:rFonts w:ascii="Bahnschrift Light" w:hAnsi="Bahnschrift Light"/>
          <w:sz w:val="24"/>
          <w:szCs w:val="24"/>
        </w:rPr>
        <w:t xml:space="preserve">da non più di 12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,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>Francia, Belgio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14:paraId="131A7A8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Tecnico Statale per il settore economico "Raffaele Piria-Ferraris/Da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9DBC297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7EC51F7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B5578A3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49020604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6DADAA95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3A75FBE2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5B4CDA5A" w14:textId="77777777"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14:paraId="2E6192F3" w14:textId="77777777"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14:paraId="704F4F76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14:paraId="2DA8643E" w14:textId="77777777"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14:paraId="301A7A76" w14:textId="06C442E0"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>è prevista l’assegnazione di</w:t>
      </w:r>
      <w:r w:rsidR="00A126A2" w:rsidRPr="005B4ACF">
        <w:rPr>
          <w:rFonts w:ascii="Bahnschrift Light" w:hAnsi="Bahnschrift Light"/>
          <w:sz w:val="24"/>
          <w:szCs w:val="24"/>
        </w:rPr>
        <w:t xml:space="preserve"> </w:t>
      </w:r>
      <w:r w:rsidR="00C146D5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C56E8F">
        <w:rPr>
          <w:rFonts w:ascii="Bahnschrift Light" w:hAnsi="Bahnschrift Light"/>
          <w:b/>
          <w:color w:val="0070C0"/>
          <w:sz w:val="24"/>
          <w:szCs w:val="24"/>
        </w:rPr>
        <w:t>1</w:t>
      </w:r>
      <w:r w:rsidR="007D5DAD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DA4278">
        <w:rPr>
          <w:rFonts w:ascii="Bahnschrift Light" w:hAnsi="Bahnschrift Light"/>
          <w:b/>
          <w:color w:val="0070C0"/>
          <w:sz w:val="24"/>
          <w:szCs w:val="24"/>
        </w:rPr>
        <w:t>Borse</w:t>
      </w:r>
      <w:r w:rsidR="00A126A2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27690B">
        <w:rPr>
          <w:rFonts w:ascii="Bahnschrift Light" w:hAnsi="Bahnschrift Light"/>
          <w:b/>
          <w:color w:val="0070C0"/>
          <w:sz w:val="24"/>
          <w:szCs w:val="24"/>
        </w:rPr>
        <w:t xml:space="preserve">la </w:t>
      </w:r>
      <w:r w:rsidR="00C84663">
        <w:rPr>
          <w:rFonts w:ascii="Bahnschrift Light" w:hAnsi="Bahnschrift Light"/>
          <w:b/>
          <w:color w:val="0070C0"/>
          <w:sz w:val="24"/>
          <w:szCs w:val="24"/>
        </w:rPr>
        <w:t>FRANCIA</w:t>
      </w:r>
      <w:r w:rsidR="0027690B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A126A2" w:rsidRPr="005B4ACF">
        <w:rPr>
          <w:rFonts w:ascii="Bahnschrift Light" w:hAnsi="Bahnschrift Light"/>
          <w:sz w:val="24"/>
          <w:szCs w:val="24"/>
        </w:rPr>
        <w:t>così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14:paraId="02D8D5D7" w14:textId="77777777" w:rsidR="0001315E" w:rsidRPr="005B4ACF" w:rsidRDefault="0001315E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fldChar w:fldCharType="begin"/>
      </w:r>
      <w:r w:rsidRPr="005B4ACF">
        <w:rPr>
          <w:rFonts w:ascii="Bahnschrift Light" w:hAnsi="Bahnschrift Light"/>
          <w:sz w:val="24"/>
          <w:szCs w:val="24"/>
        </w:rPr>
        <w:instrText xml:space="preserve"> LINK </w:instrText>
      </w:r>
      <w:r w:rsidR="00D32BE8">
        <w:rPr>
          <w:rFonts w:ascii="Bahnschrift Light" w:hAnsi="Bahnschrift Light"/>
          <w:sz w:val="24"/>
          <w:szCs w:val="24"/>
        </w:rPr>
        <w:instrText xml:space="preserve">Excel.Sheet.12 Cartel1 Foglio1!R1C1:R5C4 </w:instrText>
      </w:r>
      <w:r w:rsidRPr="005B4ACF">
        <w:rPr>
          <w:rFonts w:ascii="Bahnschrift Light" w:hAnsi="Bahnschrift Light"/>
          <w:sz w:val="24"/>
          <w:szCs w:val="24"/>
        </w:rPr>
        <w:instrText xml:space="preserve">\a \f 4 \h </w:instrText>
      </w:r>
      <w:r w:rsidR="001C615A" w:rsidRPr="005B4ACF">
        <w:rPr>
          <w:rFonts w:ascii="Bahnschrift Light" w:hAnsi="Bahnschrift Light"/>
          <w:sz w:val="24"/>
          <w:szCs w:val="24"/>
        </w:rPr>
        <w:instrText xml:space="preserve"> \* MERGEFORMAT </w:instrText>
      </w:r>
      <w:r w:rsidRPr="005B4ACF">
        <w:rPr>
          <w:rFonts w:ascii="Bahnschrift Light" w:hAnsi="Bahnschrift Light"/>
          <w:sz w:val="24"/>
          <w:szCs w:val="24"/>
        </w:rPr>
        <w:fldChar w:fldCharType="separate"/>
      </w:r>
      <w:r w:rsidR="007E61C3"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82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0"/>
        <w:gridCol w:w="2157"/>
      </w:tblGrid>
      <w:tr w:rsidR="0001315E" w:rsidRPr="005B4ACF" w14:paraId="61BA0318" w14:textId="77777777" w:rsidTr="00B032CC">
        <w:trPr>
          <w:trHeight w:val="405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bottom"/>
            <w:hideMark/>
          </w:tcPr>
          <w:p w14:paraId="53904BD5" w14:textId="0288F07D" w:rsidR="0001315E" w:rsidRPr="00DA4278" w:rsidRDefault="00CC4AB7" w:rsidP="00B032CC">
            <w:pPr>
              <w:spacing w:after="0" w:line="240" w:lineRule="auto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DA4278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DA4278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 w:rsidR="00C84663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FRANCI</w:t>
            </w:r>
            <w:r w:rsidR="0027690B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A</w:t>
            </w:r>
          </w:p>
        </w:tc>
      </w:tr>
      <w:tr w:rsidR="0001315E" w:rsidRPr="005B4ACF" w14:paraId="393B5A16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5A2F6" w14:textId="77777777" w:rsidR="0001315E" w:rsidRPr="00B032CC" w:rsidRDefault="0001315E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78C8" w14:textId="7FBD0376" w:rsidR="0001315E" w:rsidRPr="00B032CC" w:rsidRDefault="0070642A" w:rsidP="004C464E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fine </w:t>
            </w:r>
            <w:r w:rsidR="004C464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Maggio</w:t>
            </w:r>
          </w:p>
        </w:tc>
      </w:tr>
      <w:tr w:rsidR="0001315E" w:rsidRPr="005B4ACF" w14:paraId="47EDEBAD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D822" w14:textId="77777777" w:rsidR="0001315E" w:rsidRPr="00B032CC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5789" w14:textId="0B805C74" w:rsidR="0001315E" w:rsidRPr="00B032CC" w:rsidRDefault="0070642A" w:rsidP="004C464E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fine </w:t>
            </w:r>
            <w:r w:rsidR="004C464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Maggio</w:t>
            </w:r>
          </w:p>
        </w:tc>
      </w:tr>
      <w:tr w:rsidR="0001315E" w:rsidRPr="00DA4278" w14:paraId="46623CD2" w14:textId="77777777" w:rsidTr="00B032CC">
        <w:trPr>
          <w:trHeight w:val="54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1B93" w14:textId="77777777" w:rsidR="0001315E" w:rsidRPr="00B032CC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9412" w14:textId="56678E6E" w:rsidR="0001315E" w:rsidRPr="00B032CC" w:rsidRDefault="0070642A" w:rsidP="004C464E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 xml:space="preserve">fine </w:t>
            </w:r>
            <w:r w:rsidR="004C464E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Giugno</w:t>
            </w:r>
          </w:p>
        </w:tc>
      </w:tr>
      <w:tr w:rsidR="0001315E" w:rsidRPr="005B4ACF" w14:paraId="7409D092" w14:textId="77777777" w:rsidTr="00B032CC">
        <w:trPr>
          <w:trHeight w:val="330"/>
        </w:trPr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2CAA" w14:textId="77777777" w:rsidR="0001315E" w:rsidRPr="00B032CC" w:rsidRDefault="0001315E" w:rsidP="00DA4278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 w:rsidRPr="00B032CC"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Mobilità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25093" w14:textId="5DCFE5F4" w:rsidR="0001315E" w:rsidRPr="00B032CC" w:rsidRDefault="004C464E" w:rsidP="004C464E">
            <w:pPr>
              <w:spacing w:line="240" w:lineRule="auto"/>
              <w:jc w:val="center"/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Light" w:eastAsia="Times New Roman" w:hAnsi="Bahnschrift Light" w:cs="Times New Roman"/>
                <w:b/>
                <w:color w:val="0070C0"/>
                <w:sz w:val="24"/>
                <w:szCs w:val="24"/>
                <w:lang w:eastAsia="it-IT"/>
              </w:rPr>
              <w:t>Giugno</w:t>
            </w:r>
          </w:p>
        </w:tc>
      </w:tr>
    </w:tbl>
    <w:p w14:paraId="37936195" w14:textId="77777777" w:rsidR="0001315E" w:rsidRPr="005B4ACF" w:rsidRDefault="0001315E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b/>
          <w:sz w:val="24"/>
          <w:szCs w:val="24"/>
        </w:rPr>
        <w:fldChar w:fldCharType="end"/>
      </w:r>
      <w:r w:rsidR="00DA4278">
        <w:rPr>
          <w:rFonts w:ascii="Bahnschrift Light" w:hAnsi="Bahnschrift Light"/>
          <w:b/>
          <w:sz w:val="24"/>
          <w:szCs w:val="24"/>
        </w:rPr>
        <w:br w:type="textWrapping" w:clear="all"/>
      </w:r>
    </w:p>
    <w:p w14:paraId="7EFE8925" w14:textId="77777777"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14:paraId="05E03B38" w14:textId="77777777"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14:paraId="064C80AE" w14:textId="77777777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14:paraId="3FF14291" w14:textId="473E2DFE"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</w:t>
      </w:r>
      <w:r w:rsidR="007D5DAD">
        <w:rPr>
          <w:rFonts w:ascii="Bahnschrift Light" w:eastAsia="Times New Roman" w:hAnsi="Bahnschrift Light" w:cs="Times New Roman"/>
          <w:sz w:val="24"/>
          <w:szCs w:val="24"/>
          <w:lang w:eastAsia="it-IT"/>
        </w:rPr>
        <w:t>9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-20</w:t>
      </w:r>
      <w:r w:rsidR="007D5DAD">
        <w:rPr>
          <w:rFonts w:ascii="Bahnschrift Light" w:eastAsia="Times New Roman" w:hAnsi="Bahnschrift Light" w:cs="Times New Roman"/>
          <w:sz w:val="24"/>
          <w:szCs w:val="24"/>
          <w:lang w:eastAsia="it-IT"/>
        </w:rPr>
        <w:t>20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che alla data di pubblicazione del bando: </w:t>
      </w:r>
    </w:p>
    <w:p w14:paraId="259386B9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residenti nella Regione Calabria;</w:t>
      </w:r>
    </w:p>
    <w:p w14:paraId="27A43D14" w14:textId="77777777"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compiuto il 18° anno di età;</w:t>
      </w:r>
    </w:p>
    <w:p w14:paraId="62C7E1E2" w14:textId="77777777"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re, da non più di 12 mesi, nei seguenti indirizzi di studio: </w:t>
      </w:r>
    </w:p>
    <w:p w14:paraId="29318F18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alberghiero (specializzazione in accoglienza turistica); </w:t>
      </w:r>
    </w:p>
    <w:p w14:paraId="6D4B4616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economico e del marketing; </w:t>
      </w:r>
    </w:p>
    <w:p w14:paraId="7BCCA6EF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turistico; </w:t>
      </w:r>
    </w:p>
    <w:p w14:paraId="752D2338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comunicazione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14:paraId="5FAD1A0C" w14:textId="77777777"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informatico;</w:t>
      </w:r>
    </w:p>
    <w:p w14:paraId="0ECD1E32" w14:textId="77777777"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artistico.</w:t>
      </w:r>
    </w:p>
    <w:p w14:paraId="6E0C23DA" w14:textId="77777777"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2C84B2B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abbiano una buona conoscenza della lingua straniera in uso nel Paese di destinazione;</w:t>
      </w:r>
    </w:p>
    <w:p w14:paraId="38F89CE5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 in possesso della cittadinanza italiana o altra cittadinanza che non richieda visto per la destinazione scelta;</w:t>
      </w:r>
    </w:p>
    <w:p w14:paraId="34A7C2BA" w14:textId="77777777"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 dello status di inoccupati/disoccupati;</w:t>
      </w:r>
    </w:p>
    <w:p w14:paraId="22E622A1" w14:textId="77777777"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71CB31C8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1B41C7CF" w14:textId="77777777"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14:paraId="459B174E" w14:textId="77777777"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69D9F3A2" w14:textId="77777777" w:rsidR="001F547E" w:rsidRPr="005B4ACF" w:rsidRDefault="001F547E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domand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 di partecipazione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ALLEGATO A – domanda di partecipazione;</w:t>
      </w:r>
    </w:p>
    <w:p w14:paraId="6964880F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14:paraId="50C48B1A" w14:textId="77777777"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 di eventuali certificazioni possedute (linguistiche e non);</w:t>
      </w:r>
    </w:p>
    <w:p w14:paraId="1F19549E" w14:textId="77777777"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copia di un documento di identità in corso di validità. </w:t>
      </w:r>
    </w:p>
    <w:p w14:paraId="29CFE1A7" w14:textId="77777777"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7109C9C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354D773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14:paraId="28DA3B42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57201CB4" w14:textId="7184F9EA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dal </w:t>
      </w:r>
      <w:r w:rsidR="004C464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05 Maggio</w:t>
      </w:r>
      <w:r w:rsidR="0070642A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7D5DAD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2021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fino al </w:t>
      </w:r>
      <w:r w:rsidR="0070642A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1</w:t>
      </w:r>
      <w:r w:rsidR="004C464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 Maggio</w:t>
      </w:r>
      <w:r w:rsidR="0070642A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7D5DAD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2021.</w:t>
      </w:r>
    </w:p>
    <w:p w14:paraId="05FA1B68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66FA1B7A" w14:textId="3469D6F8"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r w:rsidR="00C8466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FRANCIA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14:paraId="23FD0817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3D2C1BFE" w14:textId="77777777"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14:paraId="603ABD9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14:paraId="4888D772" w14:textId="77777777"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14:paraId="44BE1F15" w14:textId="77777777"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14:paraId="4CBB4D5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14:paraId="48929483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14:paraId="3A584F3D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 linguistiche possedute;</w:t>
      </w:r>
    </w:p>
    <w:p w14:paraId="68E4B558" w14:textId="77777777"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 del candidato a partecipare al progetto, le attitudini e le aspirazioni relative all’ambito di attività del tirocinio proposto, capacità comunicative-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relazionali ed adattive di cui il candidato è portatore per affrontare in maniera serena e consapevole un’esperienza di mobilità di medio-lungo periodo all’estero.</w:t>
      </w:r>
    </w:p>
    <w:p w14:paraId="290DD72C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3048389" w14:textId="77777777"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14:paraId="2F36DC5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14:paraId="66B09B19" w14:textId="77777777"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14:paraId="203AFA95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14:paraId="694225B2" w14:textId="77777777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11ABDA35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14:paraId="08DEDFF3" w14:textId="77777777"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14:paraId="72CE54C0" w14:textId="77777777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D1540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0E31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14:paraId="16134904" w14:textId="77777777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639C4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30352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14:paraId="224A4FC1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4EB53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4DD4A" w14:textId="77777777"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14:paraId="761E69B7" w14:textId="77777777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259EF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EFDA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14:paraId="5F56AB5E" w14:textId="77777777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A846D" w14:textId="77777777"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6EF48" w14:textId="77777777"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14:paraId="25ED9819" w14:textId="77777777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92C10" w14:textId="77777777"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C1F67" w14:textId="77777777"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14:paraId="26F0BD37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7C97C16A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4E408E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1B374B09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14:paraId="33465111" w14:textId="77777777"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2BA0C6E1" w14:textId="77777777"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14:paraId="51FA6713" w14:textId="77777777"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14:paraId="0E512CBB" w14:textId="77777777"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14:paraId="5B2DB9D4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14:paraId="043EE731" w14:textId="77777777"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14:paraId="7C37E8DC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amministrazione e gestione del progetto; </w:t>
      </w:r>
    </w:p>
    <w:p w14:paraId="07ED4A9E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 del tirocinio e dell’organizzazione ospitante, sulla base del profilo del candidato, compatibilmente con i settori di tirocinio previsti;</w:t>
      </w:r>
    </w:p>
    <w:p w14:paraId="35544B44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preparazione linguistica tramite la piattaforma 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14:paraId="7DD84E8F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 aereo di andata e ritorno verso la destinazione del tirocinio;</w:t>
      </w:r>
    </w:p>
    <w:p w14:paraId="6E4AC280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 assicurativa (responsabilità civile e infortuni) per tutta la durata del soggiorno all’estero;</w:t>
      </w:r>
    </w:p>
    <w:p w14:paraId="4514A0C3" w14:textId="77777777" w:rsidR="00554DE8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alloggio:</w:t>
      </w: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14:paraId="436820D9" w14:textId="27F671E4" w:rsidR="001C615A" w:rsidRPr="00554DE8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per la destinazione </w:t>
      </w:r>
      <w:r w:rsidR="001F2E10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FRANCIA</w:t>
      </w:r>
      <w:r w:rsidRPr="00554DE8">
        <w:rPr>
          <w:rFonts w:ascii="Bahnschrift Light" w:eastAsia="Times New Roman" w:hAnsi="Bahnschrift Light" w:cs="Arial"/>
          <w:color w:val="0070C0"/>
          <w:sz w:val="24"/>
          <w:szCs w:val="24"/>
          <w:lang w:eastAsia="it-IT"/>
        </w:rPr>
        <w:t xml:space="preserve"> 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554DE8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14:paraId="0CC0EDAA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 e monitoraggio professionale, logistico e organizzativo per tutta la durata del soggiorno all’estero;</w:t>
      </w:r>
    </w:p>
    <w:p w14:paraId="606A5B83" w14:textId="77777777"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rilascio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14:paraId="6B4598BD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680176EE" w14:textId="77777777"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14:paraId="1B3C746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14:paraId="794B9658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14:paraId="63D3ADDF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4AC22040" w14:textId="77777777"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potrà 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14:paraId="145C01BB" w14:textId="77777777"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14:paraId="28BB2B8A" w14:textId="77777777"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554DE8"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554DE8"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38166549</w:t>
      </w:r>
      <w:r w:rsid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14:paraId="2F822759" w14:textId="77777777"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07E79" w14:textId="77777777" w:rsidR="00053138" w:rsidRDefault="00053138" w:rsidP="00AC0EE2">
      <w:pPr>
        <w:spacing w:after="0" w:line="240" w:lineRule="auto"/>
      </w:pPr>
      <w:r>
        <w:separator/>
      </w:r>
    </w:p>
  </w:endnote>
  <w:endnote w:type="continuationSeparator" w:id="0">
    <w:p w14:paraId="6E613E82" w14:textId="77777777" w:rsidR="00053138" w:rsidRDefault="00053138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2957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14:paraId="055D9F3D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14:paraId="73B29636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14:paraId="25399885" w14:textId="77777777"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14:paraId="2D9CE662" w14:textId="77777777"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C2996" w14:textId="77777777" w:rsidR="00053138" w:rsidRDefault="00053138" w:rsidP="00AC0EE2">
      <w:pPr>
        <w:spacing w:after="0" w:line="240" w:lineRule="auto"/>
      </w:pPr>
      <w:r>
        <w:separator/>
      </w:r>
    </w:p>
  </w:footnote>
  <w:footnote w:type="continuationSeparator" w:id="0">
    <w:p w14:paraId="5A37A010" w14:textId="77777777" w:rsidR="00053138" w:rsidRDefault="00053138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0E002" w14:textId="77777777"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4C9B6B4" wp14:editId="79730049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 wp14:anchorId="4BDEFC1C" wp14:editId="447AA74C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3070E261" wp14:editId="75A97FEC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14:paraId="2B1E9434" w14:textId="77777777"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14:paraId="4F2862CF" w14:textId="77777777"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EE2"/>
    <w:rsid w:val="0001315E"/>
    <w:rsid w:val="00022232"/>
    <w:rsid w:val="00053138"/>
    <w:rsid w:val="00074620"/>
    <w:rsid w:val="000B7AB8"/>
    <w:rsid w:val="00150E99"/>
    <w:rsid w:val="00166878"/>
    <w:rsid w:val="00167950"/>
    <w:rsid w:val="00187918"/>
    <w:rsid w:val="001C39AF"/>
    <w:rsid w:val="001C615A"/>
    <w:rsid w:val="001F2E10"/>
    <w:rsid w:val="001F547E"/>
    <w:rsid w:val="00223BCF"/>
    <w:rsid w:val="0027690B"/>
    <w:rsid w:val="002A50BF"/>
    <w:rsid w:val="002B7CC8"/>
    <w:rsid w:val="00305648"/>
    <w:rsid w:val="0031278B"/>
    <w:rsid w:val="00342B70"/>
    <w:rsid w:val="00353FD2"/>
    <w:rsid w:val="003C584D"/>
    <w:rsid w:val="00406207"/>
    <w:rsid w:val="00407DAE"/>
    <w:rsid w:val="004C464E"/>
    <w:rsid w:val="00525771"/>
    <w:rsid w:val="00534913"/>
    <w:rsid w:val="00554DE8"/>
    <w:rsid w:val="00557953"/>
    <w:rsid w:val="005705E6"/>
    <w:rsid w:val="005B4ACF"/>
    <w:rsid w:val="005D018D"/>
    <w:rsid w:val="00624E54"/>
    <w:rsid w:val="006618D1"/>
    <w:rsid w:val="006A5241"/>
    <w:rsid w:val="006A5604"/>
    <w:rsid w:val="0070642A"/>
    <w:rsid w:val="00744E6A"/>
    <w:rsid w:val="00774724"/>
    <w:rsid w:val="007D5DAD"/>
    <w:rsid w:val="007E61C3"/>
    <w:rsid w:val="008A6679"/>
    <w:rsid w:val="008A7177"/>
    <w:rsid w:val="008D73E6"/>
    <w:rsid w:val="00904DD2"/>
    <w:rsid w:val="0091622D"/>
    <w:rsid w:val="00941EA4"/>
    <w:rsid w:val="009603A1"/>
    <w:rsid w:val="009C6121"/>
    <w:rsid w:val="00A126A2"/>
    <w:rsid w:val="00A13AFB"/>
    <w:rsid w:val="00AB2128"/>
    <w:rsid w:val="00AB66EB"/>
    <w:rsid w:val="00AC081E"/>
    <w:rsid w:val="00AC0EE2"/>
    <w:rsid w:val="00B032CC"/>
    <w:rsid w:val="00B45BCB"/>
    <w:rsid w:val="00B61839"/>
    <w:rsid w:val="00B9527B"/>
    <w:rsid w:val="00BF2381"/>
    <w:rsid w:val="00C146D5"/>
    <w:rsid w:val="00C56E8F"/>
    <w:rsid w:val="00C84663"/>
    <w:rsid w:val="00CB5B8C"/>
    <w:rsid w:val="00CC4AB7"/>
    <w:rsid w:val="00CF28E9"/>
    <w:rsid w:val="00D247BF"/>
    <w:rsid w:val="00D32BE8"/>
    <w:rsid w:val="00D54174"/>
    <w:rsid w:val="00D91247"/>
    <w:rsid w:val="00DA4278"/>
    <w:rsid w:val="00E83681"/>
    <w:rsid w:val="00E841DD"/>
    <w:rsid w:val="00EE0942"/>
    <w:rsid w:val="00EF2E69"/>
    <w:rsid w:val="00F669E5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F3D6B"/>
  <w15:chartTrackingRefBased/>
  <w15:docId w15:val="{087C0042-60B4-4E8F-8EBC-72EFEC4FA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rasmus-heritage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nfo@erasmus-heritag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asmus-heritage.e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5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Francesca Ferrara</cp:lastModifiedBy>
  <cp:revision>54</cp:revision>
  <cp:lastPrinted>2018-09-28T14:35:00Z</cp:lastPrinted>
  <dcterms:created xsi:type="dcterms:W3CDTF">2018-09-28T14:57:00Z</dcterms:created>
  <dcterms:modified xsi:type="dcterms:W3CDTF">2021-05-05T06:51:00Z</dcterms:modified>
</cp:coreProperties>
</file>